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32" w:rsidRPr="00900B32" w:rsidRDefault="00900B32" w:rsidP="00900B32">
      <w:pPr>
        <w:pBdr>
          <w:bottom w:val="single" w:sz="12" w:space="4" w:color="989898"/>
        </w:pBdr>
        <w:spacing w:after="150" w:line="240" w:lineRule="auto"/>
        <w:outlineLvl w:val="0"/>
        <w:rPr>
          <w:rFonts w:ascii="Arial" w:eastAsia="Times New Roman" w:hAnsi="Arial" w:cs="Arial"/>
          <w:caps/>
          <w:color w:val="660066"/>
          <w:kern w:val="36"/>
          <w:sz w:val="36"/>
          <w:szCs w:val="36"/>
          <w:lang w:eastAsia="ru-RU"/>
        </w:rPr>
      </w:pPr>
      <w:r w:rsidRPr="00900B32">
        <w:rPr>
          <w:rFonts w:ascii="Arial" w:eastAsia="Times New Roman" w:hAnsi="Arial" w:cs="Arial"/>
          <w:caps/>
          <w:color w:val="660066"/>
          <w:kern w:val="36"/>
          <w:sz w:val="36"/>
          <w:szCs w:val="36"/>
          <w:lang w:eastAsia="ru-RU"/>
        </w:rPr>
        <w:t>1.1. Требования, предъявляемые к курсовым работам</w:t>
      </w:r>
    </w:p>
    <w:p w:rsidR="00900B32" w:rsidRPr="00900B32" w:rsidRDefault="00900B32" w:rsidP="00900B32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006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61925" cy="142875"/>
            <wp:effectExtent l="19050" t="0" r="9525" b="0"/>
            <wp:docPr id="1" name="Рисунок 1" descr="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">
              <a:hlinkClick xmlns:a="http://schemas.openxmlformats.org/drawingml/2006/main" r:id="rId5" tooltip="&quot;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">
                      <a:hlinkClick r:id="rId5" tooltip="&quot;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B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/ </w:t>
      </w:r>
      <w:hyperlink r:id="rId7" w:tooltip="1. Общие положения по написанию и защите курсовых работ" w:history="1">
        <w:r w:rsidRPr="00900B32">
          <w:rPr>
            <w:rFonts w:ascii="Arial" w:eastAsia="Times New Roman" w:hAnsi="Arial" w:cs="Arial"/>
            <w:color w:val="660066"/>
            <w:sz w:val="21"/>
            <w:u w:val="single"/>
            <w:lang w:eastAsia="ru-RU"/>
          </w:rPr>
          <w:t>1. Общие положения по написанию и защите курсовых работ</w:t>
        </w:r>
      </w:hyperlink>
      <w:r w:rsidRPr="00900B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/ </w:t>
      </w:r>
      <w:hyperlink r:id="rId8" w:tooltip="1.1. Требования, предъявляемые к курсовым работам" w:history="1">
        <w:r w:rsidRPr="00900B32">
          <w:rPr>
            <w:rFonts w:ascii="Arial" w:eastAsia="Times New Roman" w:hAnsi="Arial" w:cs="Arial"/>
            <w:color w:val="660066"/>
            <w:sz w:val="21"/>
            <w:u w:val="single"/>
            <w:lang w:eastAsia="ru-RU"/>
          </w:rPr>
          <w:t>1.1. Требования, предъявляемые к курсовым работам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1. Научный уровень.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решении задач и вопросов, возникающих в ходе написания курсовых работ, бакалавры и магистранты должен опираться на экономико-математический инструментарий, структурно-логические связи и другие методы научного исследования. В работе должны быть освещены дискуссионные вопросы по отдельным проблемам исследования с одновременным аргументированным изложением собственного мнения.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 Использование законодательной и нормативной базы.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При написании курсовых работ должна быть использована нормативно-законодательная база Российской Федерации, международные правовые акты, законодательные и нормативные акты региональных и местных органов власти, законопроекты, а так же, при необходимости, материалы судебной и арбитражной практики.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3. Использование литературных источников, статистических материалов и  ресурсов Интернета.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 курсовых работах должен быть представлен аналитический обзор экономической и специальной литературы, материалов периодической печати, сформирован понятийный аппарат.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4. Наличие практической базы исследования.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Курсовая работа должна содержать фактические данные, полученные из различных информационных источников: официальных сайтов министерств, ведомств и организаций, статистических сборников, отчетности предприятий и др.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5. Логическое соответствие наименования темы исследования, объекта, предмета, целей и задач в курсовой работы.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6. Формат набора основного текста курсовой работы.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Текст курсовых работ печатается на одной стороне листа формата А4. Основные параметры набора текста: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-        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формат А4, книжный;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-        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гарнитуратекста – Times New Roman; 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 xml:space="preserve">-        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шрифт 12 через полуторный межстрочный интервал;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-        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поля: сверху – 20 мм, снизу – 20 мм, слева – 30 мм, справа – 20 мм;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-        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абзацный отступ – 1,25 см;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-        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выравнивание – по ширине.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Все страницы, кроме приложений, нумеруются. Номер страницы ставится в центре верхнего колонтитула листа без точки. Титульный лист считается первой страницей, номер страницы на титульном листе не ставиться. 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Каждая глава, а также введение и заключение начинаются с новой страницы. Заголовки глав пишутся строчными полужирными буквами с выравниванием по центру страницы через один интервал. В заголовках не допускается перенос или подчеркивание слов. Точка в конце заголовка не ставится. Главы включают в себя параграфы, так же имеющие заголовок и входящие в состав содержания. Параграфы внутри главы располагаются по тексту основной части курсовой работы, - т.е. не с новой страницы. Главы и параграфы должны быть соразмерны друг другу, как по структурному делению, так и по объему. Количество параграфов в каждой главе курсовой работы в целом должно варьировать от трех до пяти.</w:t>
      </w:r>
    </w:p>
    <w:p w:rsidR="00900B32" w:rsidRPr="00900B32" w:rsidRDefault="00900B32" w:rsidP="00900B3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Уравнения и формулы размещаются на отдельной строке. Нумерация формул – сквозная в пределах основной части текста. Номер ставиться арабскими цифрами в круглых скобках в крайнем правом положении на строке. Образец написания формул приведен в </w:t>
      </w:r>
      <w:hyperlink r:id="rId9" w:anchor="Прил13н" w:history="1">
        <w:r w:rsidRPr="00900B32">
          <w:rPr>
            <w:rFonts w:ascii="Times New Roman" w:eastAsia="Times New Roman" w:hAnsi="Times New Roman" w:cs="Times New Roman"/>
            <w:i/>
            <w:iCs/>
            <w:color w:val="0F9300"/>
            <w:sz w:val="27"/>
            <w:u w:val="single"/>
            <w:lang w:eastAsia="ru-RU"/>
          </w:rPr>
          <w:t>Приложении 1.3</w:t>
        </w:r>
      </w:hyperlink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>.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Ссылки на формулу в тексте записываются в виде номера формулы в круглых скобках.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Каждая из таблиц, диаграмм, схем, графиков и рисунков должна иметь название, нумерация сквозная. Ссылки на использованные нормативные документы или литературные источники записываются в квадратных скобках.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Курсовая работа не может быть допущена к защите при наличии хотя бы одного из перечисленных недостатков: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если работа перепечатана из Интернета или других носителей информации;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если полностью или в значительной части работа выполнена несамостоятельно, т.е. путем механического переписывания нормативных документов или литературных источников;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если выявлены существенные ошибки, свидетельствующие о том, что содержание темы не раскрыто;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если работа отличается узконаправленным замкнутым подходом к решаемым проблемам без применения комплексного анализа, позволяющего студенту проявить необходимый объем знаний;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- если работа написана небрежно с несоблюдением правил оформления.</w:t>
      </w:r>
    </w:p>
    <w:p w:rsidR="00900B32" w:rsidRPr="00900B32" w:rsidRDefault="00900B32" w:rsidP="00900B32">
      <w:pPr>
        <w:pBdr>
          <w:bottom w:val="single" w:sz="12" w:space="4" w:color="989898"/>
        </w:pBdr>
        <w:spacing w:after="150" w:line="240" w:lineRule="auto"/>
        <w:outlineLvl w:val="0"/>
        <w:rPr>
          <w:rFonts w:ascii="Arial" w:eastAsia="Times New Roman" w:hAnsi="Arial" w:cs="Arial"/>
          <w:caps/>
          <w:color w:val="660066"/>
          <w:kern w:val="36"/>
          <w:sz w:val="36"/>
          <w:szCs w:val="36"/>
          <w:lang w:eastAsia="ru-RU"/>
        </w:rPr>
      </w:pPr>
      <w:r w:rsidRPr="00900B32">
        <w:rPr>
          <w:rFonts w:ascii="Arial" w:eastAsia="Times New Roman" w:hAnsi="Arial" w:cs="Arial"/>
          <w:caps/>
          <w:color w:val="660066"/>
          <w:kern w:val="36"/>
          <w:sz w:val="36"/>
          <w:szCs w:val="36"/>
          <w:lang w:eastAsia="ru-RU"/>
        </w:rPr>
        <w:t>1.2. Основные этапы выполнения и оформление курсовой работы</w:t>
      </w:r>
    </w:p>
    <w:p w:rsidR="00900B32" w:rsidRPr="00900B32" w:rsidRDefault="00900B32" w:rsidP="00900B32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006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61925" cy="142875"/>
            <wp:effectExtent l="19050" t="0" r="9525" b="0"/>
            <wp:docPr id="3" name="Рисунок 3" descr="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">
              <a:hlinkClick xmlns:a="http://schemas.openxmlformats.org/drawingml/2006/main" r:id="rId5" tooltip="&quot;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">
                      <a:hlinkClick r:id="rId5" tooltip="&quot;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B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/ </w:t>
      </w:r>
      <w:hyperlink r:id="rId10" w:tooltip="1. Общие положения по написанию и защите курсовых работ" w:history="1">
        <w:r w:rsidRPr="00900B32">
          <w:rPr>
            <w:rFonts w:ascii="Arial" w:eastAsia="Times New Roman" w:hAnsi="Arial" w:cs="Arial"/>
            <w:color w:val="660066"/>
            <w:sz w:val="21"/>
            <w:u w:val="single"/>
            <w:lang w:eastAsia="ru-RU"/>
          </w:rPr>
          <w:t>1. Общие положения по написанию и защите курсовых работ</w:t>
        </w:r>
      </w:hyperlink>
      <w:r w:rsidRPr="00900B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/ </w:t>
      </w:r>
      <w:hyperlink r:id="rId11" w:tooltip="1.2. Основные этапы выполнения и оформление курсовой работы" w:history="1">
        <w:r w:rsidRPr="00900B32">
          <w:rPr>
            <w:rFonts w:ascii="Arial" w:eastAsia="Times New Roman" w:hAnsi="Arial" w:cs="Arial"/>
            <w:color w:val="660066"/>
            <w:sz w:val="21"/>
            <w:u w:val="single"/>
            <w:lang w:eastAsia="ru-RU"/>
          </w:rPr>
          <w:t>1.2. Основные этапы выполнения и оформление курсовой работы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 Выбор темы курсового исследования.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Самостоятельность научного творчества бакалавров и магистрантов проявляется в свободе выбора тем курсовых работ. Это позволяет реализовать индивидуальные научные интересы каждого студента и требует от будущего специалиста интеллектуальной разносторонности.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Тематика курсовых работ разрабатывается кафедрой финансов и кредита в рамках требований ФГОС. В приложениях приведены примерные тематики курсовых работ.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выборе темы студент должен руководствоваться уровнем собственной подготовки, научными интересами, доступностью фактических материалов, возможностью дальнейшего развития данной темы во время обучения в университете, а так же учитывать актуальность и практическую значимость рассматриваемых вопросов. В отдельных случаях, ориентируясь на собственный научный интерес, студент может предложить свою тему с обоснованием необходимости ее разработки. В таком случае следует учитывать общее правило: чем конкретнее сформулирована тема - тем лучше. Не следует предлагать темы, разработка которых потребовала бы многолетних усилий целого научного коллектива.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 Детальная проработка методики написания курсовой работы, посредством консультаций с научным руководителем и изучения настоящих рекомендаций.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Выбрав тему курсовой работы, студент в соответствие с графиком консультаций встречается с научным руководителем. На консультациях научный руководитель оказывает помощь в составлении плана студента, в определении направления разработки темы, выборе понятийного и методологического аппарата работы, основной литературы и практических материалов, в разработке структуры работы. Научный руководитель проверяет выполнение работы в целом.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3. Составление плана работы и обсуждение его с руководителем.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На основе предварительного ознакомления с литературой и базой исследования составляется план курсовой работы. План должен включать: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- формулировку цели, предмета и основных задач исследования;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 xml:space="preserve">- выбор методики решения задач: в каком порядке и с использованием каких методов (наблюдения, эксперимента, анализа и обобщения материала, математических расчетов, компьютерной обработки и т.д.) будут решаться поставленные задачи;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выделение структурных компонентов будущего содержания работы;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анализ и обобщение результатов;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- оформление работы.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План составляется с учетом графика выполнения курсовой работы. В процессе написания курсовой работы план может корректироваться.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4. Отбор, изучение и  оформление списка литературных источников.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Процесс изучения литературы требует внимательного и обстоятельного осмысления. Предварительное ознакомление с литературой позволяет студентам ориентироваться в основных направлениях выбранной темы исследования. Отбор литературы по теме курсовой работы начинается, как правило, с подготовки библиографического списка. Источниками для формирования библиографического списка могут быть: список обязательной и рекомендованной литературы по изучению учебной дисциплины; библиографические списки в учебниках и монографиях;  предметные каталоги библиотек; Интернет-ресурсы; справочные информационные системы КонсультанПлюс и Гарант; рекомендации преподавателя.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работе с ресурсами Интернета необходимо учитывать, сопоставлять и проверять достоверность, актуальность, релевантность информации; осмотрительно использовать, либо избегать применения в работе информации из Википедии.</w:t>
      </w:r>
    </w:p>
    <w:p w:rsidR="00900B32" w:rsidRPr="00900B32" w:rsidRDefault="00900B32" w:rsidP="00900B3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Библиографический список должен всесторонне охватывать исследуемую тему. Необходимое количество используемых литературных источников устанавливается применительно к учебной дисциплине, по которой пишется курсовая работа. Отбор нормативной документации и литературных источников студенты осуществляют самостоятельно. Перечень интернет-адресов некоторых официальных и рекомендуемых электронных средств информации приведен в </w:t>
      </w:r>
      <w:hyperlink r:id="rId12" w:anchor="пр11" w:history="1">
        <w:r w:rsidRPr="00900B32">
          <w:rPr>
            <w:rFonts w:ascii="Times New Roman" w:eastAsia="Times New Roman" w:hAnsi="Times New Roman" w:cs="Times New Roman"/>
            <w:i/>
            <w:iCs/>
            <w:color w:val="0F9300"/>
            <w:sz w:val="27"/>
            <w:u w:val="single"/>
            <w:lang w:eastAsia="ru-RU"/>
          </w:rPr>
          <w:t>Приложении 1.1</w:t>
        </w:r>
      </w:hyperlink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>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 ходе анализа собранного по теме исследования материала студент выбирает наиболее обоснованные и аргументированные фрагменты и затем систематизируют их по ключевым вопросам исследования. Итогом этой работы должна стать логически выстроенная система сведений по существу исследуемого вопроса. На ее основе уточняется структура исследования, содержание и объем работы.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Список использованной литературы оформляется по правилам библиографического описания (ГОСТ 7.1-2003), печатается через один интервал 12 шрифтом и имеет сквозную нумерацию с выделением разделов: </w:t>
      </w:r>
    </w:p>
    <w:p w:rsidR="00900B32" w:rsidRPr="00900B32" w:rsidRDefault="00900B32" w:rsidP="00900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Нормативно-правовые материалы;</w:t>
      </w:r>
    </w:p>
    <w:p w:rsidR="00900B32" w:rsidRPr="00900B32" w:rsidRDefault="00900B32" w:rsidP="00900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Специальная литература;</w:t>
      </w:r>
    </w:p>
    <w:p w:rsidR="00900B32" w:rsidRPr="00900B32" w:rsidRDefault="00900B32" w:rsidP="00900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Электронные средства информации.</w:t>
      </w:r>
      <w:r w:rsidRPr="00900B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начале списка приводятся законодательные и нормативные документы в соответствии с установленной иерархией: Конституция РФ, кодексы, Федеральные законы, законы субъектов РФ, Указы Президента РФ, Постановления Правительства РФ, решения местных органов власти, нормативные документы министерств и ведомств. При написании курсовых работ нормативные акты должны использоваться в последней действующей редакции, которая в списке литературы указывается в круглых скобках.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За нормативными документами следуют литературные источники в алфавитном порядке (по авторам) и интернет сайты с последней датой обращения. </w:t>
      </w:r>
    </w:p>
    <w:p w:rsidR="00900B32" w:rsidRPr="00900B32" w:rsidRDefault="00900B32" w:rsidP="00900B3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При составлении списка литературы следует иметь в виду, что использованной является не та литературы, которая указана в перечне к курсовой работе, а та, на которую имеются ссылки в тексте. Образец оформления списка использованной литературы приведен в </w:t>
      </w:r>
      <w:hyperlink r:id="rId13" w:anchor="пр12" w:history="1">
        <w:r w:rsidRPr="00900B32">
          <w:rPr>
            <w:rFonts w:ascii="Times New Roman" w:eastAsia="Times New Roman" w:hAnsi="Times New Roman" w:cs="Times New Roman"/>
            <w:i/>
            <w:iCs/>
            <w:color w:val="0F9300"/>
            <w:sz w:val="27"/>
            <w:u w:val="single"/>
            <w:lang w:eastAsia="ru-RU"/>
          </w:rPr>
          <w:t>Приложении 1.2.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5. </w:t>
      </w:r>
      <w:hyperlink r:id="rId14" w:anchor="Сбор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Сбор фактического материала, его анализ и обобщение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Основными целями и задачами написания курсовой работы является не только расширение и углубление знаний студента в области теории предмета исследования,  но и формирование умения анализировать теоретический, методический  и практический материал, а также логично, последовательно, ясно излагать свои мысли.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На основе разработанного плана студент осуществляет сбор фактического материала и статистической информации макроэкономического, отраслевого или регионального характера за последние годы. Для характеристики интенсивности развития во времени используются абсолютные и относительные показатели динамики: </w:t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 xml:space="preserve">абсолютный прирост, темп роста, темп прироста.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0015AF"/>
          <w:sz w:val="27"/>
          <w:lang w:eastAsia="ru-RU"/>
        </w:rPr>
        <w:t>Абсолютный прирост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определяется как разность между величиной экономического показателя данного уровня и уровня, принятого за базу сравнения: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64646"/>
          <w:sz w:val="27"/>
          <w:szCs w:val="27"/>
          <w:vertAlign w:val="subscript"/>
          <w:lang w:eastAsia="ru-RU"/>
        </w:rPr>
        <w:drawing>
          <wp:inline distT="0" distB="0" distL="0" distR="0">
            <wp:extent cx="952500" cy="152400"/>
            <wp:effectExtent l="19050" t="0" r="0" b="0"/>
            <wp:docPr id="4" name="equationview" descr="http://latex.codecogs.com/gif.latex?%5CDelta%20y%3Dy_%7Bi%7D-y_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elta%20y%3Dy_%7Bi%7D-y_%7B0%7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vertAlign w:val="subscript"/>
          <w:lang w:eastAsia="ru-RU"/>
        </w:rPr>
        <w:t>,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где y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i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- уровень сравниваемого периода;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y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0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- уровень базисного периода.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положительном знаке абсолютное изменение называется абсолютным приростом, при отрицательном - абсолютным снижением.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0015AF"/>
          <w:sz w:val="27"/>
          <w:lang w:eastAsia="ru-RU"/>
        </w:rPr>
        <w:t xml:space="preserve">Темп роста </w:t>
      </w:r>
      <w:r w:rsidRPr="00900B32">
        <w:rPr>
          <w:rFonts w:ascii="Times New Roman" w:eastAsia="Times New Roman" w:hAnsi="Times New Roman" w:cs="Times New Roman"/>
          <w:color w:val="0015AF"/>
          <w:sz w:val="27"/>
          <w:szCs w:val="27"/>
          <w:lang w:eastAsia="ru-RU"/>
        </w:rPr>
        <w:t xml:space="preserve">определяется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как отношение величины экономического показателя данного уровня к предыдущему или базисному, выраженное в процентах: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64646"/>
          <w:sz w:val="27"/>
          <w:szCs w:val="27"/>
          <w:lang w:eastAsia="ru-RU"/>
        </w:rPr>
        <w:drawing>
          <wp:inline distT="0" distB="0" distL="0" distR="0">
            <wp:extent cx="1209675" cy="228600"/>
            <wp:effectExtent l="19050" t="0" r="9525" b="0"/>
            <wp:docPr id="5" name="equationview" descr="http://latex.codecogs.com/gif.latex?T_%7Bp%7D%3D%5Cfrac%7By_%7Bi%7D%7D%7By_%7B0%7D%7D%5Ccdot%20100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T_%7Bp%7D%3D%5Cfrac%7By_%7Bi%7D%7D%7By_%7B0%7D%7D%5Ccdot%20100%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vertAlign w:val="superscript"/>
          <w:lang w:eastAsia="ru-RU"/>
        </w:rPr>
        <w:t>%</w:t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vertAlign w:val="subscript"/>
          <w:lang w:eastAsia="ru-RU"/>
        </w:rPr>
        <w:t>,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Темп роста всегда положителен. Он определяет, во сколько раз увеличилось значение показателя по сравнению с базисным уровнем, а в случае уменьшения – какую часть базисного уровня составляет сравниваемое значение показателя.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Темп прироста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определяется как отношение абсолютного прироста показателя к уровню показателя, принятому за базу сравнения: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444444"/>
          <w:sz w:val="27"/>
          <w:szCs w:val="27"/>
          <w:vertAlign w:val="subscript"/>
          <w:lang w:eastAsia="ru-RU"/>
        </w:rPr>
        <w:drawing>
          <wp:inline distT="0" distB="0" distL="0" distR="0">
            <wp:extent cx="1209675" cy="228600"/>
            <wp:effectExtent l="19050" t="0" r="9525" b="0"/>
            <wp:docPr id="6" name="equationview" descr="http://latex.codecogs.com/gif.latex?T_%7Bnp%7D%3D%5Cfrac%7B%7By_%7Bi%7D%7D-%7By_%7B0%7D%7D%7D%7B%7By_%7B0%7D%7D%7D%5Ccdot%20100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T_%7Bnp%7D%3D%5Cfrac%7B%7By_%7Bi%7D%7D-%7By_%7B0%7D%7D%7D%7B%7By_%7B0%7D%7D%7D%5Ccdot%20100%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perscript"/>
          <w:lang w:eastAsia="ru-RU"/>
        </w:rPr>
        <w:t>%   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или Тпр=Тр-100%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Темп прироста может быть как положительным, так и отрицательным или равным нулю. Он определяет, на сколько процентов сравниваемое значение показателя больше или меньше уровня, принятого за базу сравнения.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Для сглаживания негативного воздействия инфляционных процессов используются </w:t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относительные показатели  структуры,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характеризующие качественный состав, т.е. внутреннее строение сложных признаков.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Расчёт относительных показателей структуры в общем виде можно выразить следующей формулой: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7"/>
          <w:szCs w:val="27"/>
          <w:vertAlign w:val="subscript"/>
          <w:lang w:eastAsia="ru-RU"/>
        </w:rPr>
        <w:drawing>
          <wp:inline distT="0" distB="0" distL="0" distR="0">
            <wp:extent cx="762000" cy="361950"/>
            <wp:effectExtent l="19050" t="0" r="0" b="0"/>
            <wp:docPr id="7" name="equationview" descr="http://latex.codecogs.com/gif.latex?dn%3D%5Cfrac%7Bn%7D%7B%5Csum%20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dn%3D%5Cfrac%7Bn%7D%7B%5Csum%20n%7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 xml:space="preserve">,        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где d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n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– доля каждой составной части в составе сложного явления;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n – абсолютное значение каждой составной части сложного признака;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Σn – общая абсолютная сумма составных частей сложного признака.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Относительные показатели структуры могут быть выражены в долях, единице (разах) или удельных весах (процентах), если признак состоит из довольно большого числа частей.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 xml:space="preserve">Собранный исходный фактический материал подвергается статистической и математической обработке и затем представляется в виде текстового описания и структурно-логических схем, таблиц, диаграмм и т.д. или заполненных типовых форм.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Для систематизации данных и выявленных закономерностей используют, как правило, аналитические таблицы. Аналитическая таблица должна сопровождаться текстовыми выводами, при формулировке которых необходимо руководствоваться правилом – «от общего к частному», т.е. сначала анализировать общий итог, а затем переходить к промежуточным итогам и отдельным показателям. Пример оформления исходного цифрового материала и результатов его обработки представлен в таблице: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Таблица 1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Показатели структуры и динамики баланса организации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929"/>
        <w:gridCol w:w="929"/>
        <w:gridCol w:w="929"/>
        <w:gridCol w:w="929"/>
        <w:gridCol w:w="1323"/>
        <w:gridCol w:w="756"/>
        <w:gridCol w:w="1078"/>
        <w:gridCol w:w="1261"/>
      </w:tblGrid>
      <w:tr w:rsidR="00900B32" w:rsidRPr="00900B32" w:rsidTr="00900B32">
        <w:tc>
          <w:tcPr>
            <w:tcW w:w="1200" w:type="dxa"/>
            <w:vMerge w:val="restart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 </w:t>
            </w:r>
          </w:p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 </w:t>
            </w:r>
          </w:p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Показатели</w:t>
            </w:r>
          </w:p>
        </w:tc>
        <w:tc>
          <w:tcPr>
            <w:tcW w:w="1890" w:type="dxa"/>
            <w:gridSpan w:val="2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Абсолютные показатели, тыс.руб.</w:t>
            </w:r>
          </w:p>
        </w:tc>
        <w:tc>
          <w:tcPr>
            <w:tcW w:w="1845" w:type="dxa"/>
            <w:gridSpan w:val="2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Относительные показатели, %</w:t>
            </w:r>
          </w:p>
        </w:tc>
        <w:tc>
          <w:tcPr>
            <w:tcW w:w="4680" w:type="dxa"/>
            <w:gridSpan w:val="4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Изменение</w:t>
            </w:r>
          </w:p>
        </w:tc>
      </w:tr>
      <w:tr w:rsidR="00900B32" w:rsidRPr="00900B32" w:rsidTr="00900B32">
        <w:tc>
          <w:tcPr>
            <w:tcW w:w="0" w:type="auto"/>
            <w:vMerge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vAlign w:val="center"/>
            <w:hideMark/>
          </w:tcPr>
          <w:p w:rsidR="00900B32" w:rsidRPr="00900B32" w:rsidRDefault="00900B32" w:rsidP="00900B3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На начало периода</w:t>
            </w:r>
          </w:p>
        </w:tc>
        <w:tc>
          <w:tcPr>
            <w:tcW w:w="96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 xml:space="preserve">На </w:t>
            </w:r>
          </w:p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конец периода</w:t>
            </w:r>
          </w:p>
        </w:tc>
        <w:tc>
          <w:tcPr>
            <w:tcW w:w="915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На начало периода</w:t>
            </w:r>
          </w:p>
        </w:tc>
        <w:tc>
          <w:tcPr>
            <w:tcW w:w="93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 xml:space="preserve">На </w:t>
            </w:r>
          </w:p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конец периода</w:t>
            </w:r>
          </w:p>
        </w:tc>
        <w:tc>
          <w:tcPr>
            <w:tcW w:w="126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Абсолютное, тыс. руб.</w:t>
            </w:r>
          </w:p>
        </w:tc>
        <w:tc>
          <w:tcPr>
            <w:tcW w:w="114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Темп роста, %</w:t>
            </w:r>
          </w:p>
        </w:tc>
        <w:tc>
          <w:tcPr>
            <w:tcW w:w="114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Темп прироста, %</w:t>
            </w:r>
          </w:p>
        </w:tc>
        <w:tc>
          <w:tcPr>
            <w:tcW w:w="1155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Структуры, п.п.</w:t>
            </w:r>
          </w:p>
        </w:tc>
      </w:tr>
      <w:tr w:rsidR="00900B32" w:rsidRPr="00900B32" w:rsidTr="00900B32">
        <w:tc>
          <w:tcPr>
            <w:tcW w:w="120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Внеоборотные активы</w:t>
            </w:r>
          </w:p>
        </w:tc>
        <w:tc>
          <w:tcPr>
            <w:tcW w:w="93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1395</w:t>
            </w:r>
          </w:p>
        </w:tc>
        <w:tc>
          <w:tcPr>
            <w:tcW w:w="96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1520</w:t>
            </w:r>
          </w:p>
        </w:tc>
        <w:tc>
          <w:tcPr>
            <w:tcW w:w="915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52,2</w:t>
            </w:r>
          </w:p>
        </w:tc>
        <w:tc>
          <w:tcPr>
            <w:tcW w:w="93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51,5</w:t>
            </w:r>
          </w:p>
        </w:tc>
        <w:tc>
          <w:tcPr>
            <w:tcW w:w="126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14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14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8,9</w:t>
            </w:r>
          </w:p>
        </w:tc>
        <w:tc>
          <w:tcPr>
            <w:tcW w:w="1155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-0,7</w:t>
            </w:r>
          </w:p>
        </w:tc>
      </w:tr>
      <w:tr w:rsidR="00900B32" w:rsidRPr="00900B32" w:rsidTr="00900B32">
        <w:tc>
          <w:tcPr>
            <w:tcW w:w="120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Оборотные активы</w:t>
            </w:r>
          </w:p>
        </w:tc>
        <w:tc>
          <w:tcPr>
            <w:tcW w:w="93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1275</w:t>
            </w:r>
          </w:p>
        </w:tc>
        <w:tc>
          <w:tcPr>
            <w:tcW w:w="96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1430</w:t>
            </w:r>
          </w:p>
        </w:tc>
        <w:tc>
          <w:tcPr>
            <w:tcW w:w="915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93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48,5</w:t>
            </w:r>
          </w:p>
        </w:tc>
        <w:tc>
          <w:tcPr>
            <w:tcW w:w="126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114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112,2</w:t>
            </w:r>
          </w:p>
        </w:tc>
        <w:tc>
          <w:tcPr>
            <w:tcW w:w="114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12,2</w:t>
            </w:r>
          </w:p>
        </w:tc>
        <w:tc>
          <w:tcPr>
            <w:tcW w:w="1155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+0,7</w:t>
            </w:r>
          </w:p>
        </w:tc>
      </w:tr>
      <w:tr w:rsidR="00900B32" w:rsidRPr="00900B32" w:rsidTr="00900B32">
        <w:tc>
          <w:tcPr>
            <w:tcW w:w="120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b/>
                <w:bCs/>
                <w:color w:val="464646"/>
                <w:sz w:val="27"/>
                <w:lang w:eastAsia="ru-RU"/>
              </w:rPr>
              <w:t>Валюта баланса</w:t>
            </w:r>
          </w:p>
        </w:tc>
        <w:tc>
          <w:tcPr>
            <w:tcW w:w="93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2670</w:t>
            </w:r>
          </w:p>
        </w:tc>
        <w:tc>
          <w:tcPr>
            <w:tcW w:w="96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2950</w:t>
            </w:r>
          </w:p>
        </w:tc>
        <w:tc>
          <w:tcPr>
            <w:tcW w:w="915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14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110,5</w:t>
            </w:r>
          </w:p>
        </w:tc>
        <w:tc>
          <w:tcPr>
            <w:tcW w:w="1140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10,5</w:t>
            </w:r>
          </w:p>
        </w:tc>
        <w:tc>
          <w:tcPr>
            <w:tcW w:w="1155" w:type="dxa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-</w:t>
            </w:r>
          </w:p>
        </w:tc>
      </w:tr>
    </w:tbl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6. Написание чернового варианта работы в соответствии с планом.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 xml:space="preserve">Курсовая работа должна представлять собой целостную, однородную и завершенную студенческую научную работу, в которой должны быть четко сформулированы проблема и исследовательские вопросы, обоснована их актуальность, изложены степень изученности проблемы и состояние ее исследования.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При написании текста курсовой работы автору необходимо следить за тем, чтобы в ходе изложения не терялась основная мысль работы. Она должна быть видна не только специалисту в данной теме, но и читателю, не посвященному в данную проблемную область. Следует постоянно контролировать соответствие содержания главы или параграфа их заголовкам. Конец каждой главы, параграфа или абзаца должен иметь логический переход к следующему.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Курсовая работа имеет следующую типовую структуру: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- титульный лист (1-я страница);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- реферат (2-я страница);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содержание (3-я страница);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текст (введение, основная часть, заключение);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список использованной литературы;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- приложения.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Титульный лист оформляется в строгом соответствии с прилагаемыми образцами в разделах специальных требований методических указаний. При оформлении титульного листа следует обратить внимание на наличие всех подписей с указанием дат, номера группы и формы обучения.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Рефератразмещается непосредственно за титульным листом. Объем реферата должен составлять не более половины страницы. В реферате указываются основные параметры курсовой работы: объем работы в страницах (без учета приложений), количество глав, наименование и количество иллюстративного материала, приложений и литературных источников, а также цель, задачи, предмет и объект исследования. В реферате приводятся ключевые слова или словосочетания из текста курсовой работы, которые в наибольшей мере характеризуют ее содержание. Приводимые ключевые слова или словосочетания в количестве до 20 указываются в именительном падеже и печатаются через запятую. Образцы  рефератов приведены в приложениях специальных требований методических указаний.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Содержаниепредставляет собой систематизированный указатель структурных частей курсовой работы и включает введение, наименование глав и параграфов (подпунктов), заключение, список литературных источников. Образцы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содержаний приведены в приложениях специальных требований методических указаний.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Во введении необходимо обосновать выбор темы, ее актуальность и значимость, цель и задачи курсовой работы, объект и предмет исследования, его теоретическую и методологическую основу, дать общий обзор литературы, указать основные информационные источники.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Важно различать понятия </w:t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 xml:space="preserve">"объект" и "предмет"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исследования. </w:t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Предмет исследования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 - это экономическая категория или проблема, исследуемая в работе. </w:t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Объект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- это более конкретная характеристика определенных аспектов объекта. Предмет исследования является более широким понятием, чем объект. Далее необходимо раскрыть место и значение предмета исследования курсовой работы.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Во введении четко должны быть определены цель, задачи и методы исследования, которые вытекают из выбранной темы. Цель исследования состоит в том, чтобы разрешить какую-то проблему. Для ее достижения выделяются конкретные задачи. Задачи исследования должны быть относительно соизмеримы: формулировка задач не должна быть громоздкой. Выбор методов исследования при выполнении курсовой работы определяется особенностями решаемых ими задач, спецификой содержания проблем и возможностями исследования. Если курсовая работа пишется на практической базе конкретной организации (банка, фонда, муниципалитета и т.д.), то ее наименование и календарный период, за который проведено исследование, также указываются во введении. Не рекомендуется делать введение объемом более 2 – 2,5 страниц.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Содержанием основной части курсовой работы является теоретическое осмысление проблемы и изложение фактического материала, который аргументировано подтверждает теорию. Основная часть состоит из глав и соответствующих этим главам параграфов (подпунктов), в которых раскрываются главные вопросы темы в соответствие с планом. Каждая из этих составляющих имеет заголовок, который печатается с выравниванием по центру жирным 12 шрифтом с заглавной буквы через 1,5 интервала; точка в конце заголовка не ставится. Все заголовки глав и параграфов входят в состав содержания, образцы которых приведены в специальных требованиях по соответствующим дисциплинам. Главы и параграфы должны быть соразмерны друг другу, как по структурному делению, так и по объему. Не следует заканчивать главу или параграф таблицей или рисунком без последующего за ним текстом.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Заключение содержит краткую формулировку результатов, полученных в ходе работы. В заключении, как правило, автор исследования суммирует полученные результаты, выводы, обобщения и рекомендации, которые вытекают из его работы, подчеркивает их значимость, а также определяет основные направления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для дальнейших перспектив в этой области. Объем заключения примерно равен объему введения и должен составлять около двух – трех страниц.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 приложения включаются материалы, полученные из внешних источников и использованные в качестве базовых инструментов при написании курсовой работы. К приложениям относятся: заполненныеунифицированные формы финансовой и статистической отчетности предприятий и организаций; исходная статистическая информация, которая подверглась аналитической обработке при написании курсовой работы; копии договоров, учредительных документов, приказов и т.д. Количество приложений к курсовой работе не ограничивается. Не допускается использовать в качестве приложений к курсовой работе законодательные акты и нормативные документы министерств и ведомств. </w:t>
      </w:r>
    </w:p>
    <w:p w:rsidR="00900B32" w:rsidRPr="00900B32" w:rsidRDefault="00900B32" w:rsidP="00900B3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 тексте курсовой работы на все без исключения приложения должны быть даны соответствующие ссылки. Приложения нумеруются арабскими цифрами. В верхнем правом углу страницы соответствующего приложения ставится слово «Приложение», записанное  (в том числе, от руки) строчными буквами с первой заглавной и с указанием номера приложения (без знака №). Список приложений приводится отдельным списком после списка использованной литературы (образец представлен в </w:t>
      </w:r>
      <w:hyperlink r:id="rId18" w:anchor="пр15н" w:history="1">
        <w:r w:rsidRPr="00900B32">
          <w:rPr>
            <w:rFonts w:ascii="Times New Roman" w:eastAsia="Times New Roman" w:hAnsi="Times New Roman" w:cs="Times New Roman"/>
            <w:i/>
            <w:iCs/>
            <w:color w:val="0F9300"/>
            <w:sz w:val="27"/>
            <w:u w:val="single"/>
            <w:lang w:eastAsia="ru-RU"/>
          </w:rPr>
          <w:t>Приложении 1.5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.).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7. Оформление иллюстрационных материалов. </w:t>
      </w:r>
    </w:p>
    <w:p w:rsidR="00900B32" w:rsidRPr="00900B32" w:rsidRDefault="00900B32" w:rsidP="00900B3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Иллюстрации - рисунки, графики, диаграммы, фотографии и т.п., - обозначаются сокращенно словом «</w:t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Рис.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», которое пишется под иллюстрацией с заглавной буквы жирным шрифтом, название рисунка печатается 12 не жирным шрифтом через 1 интервал. Нумерация рисунков – арабскими цифрами, - сквозная по всему тексту курсовой работы.  Под рисунком с выравниванием по центру размещается его наименование. Рисунки располагают сразу же после ссылки на них в основном тексте и могут быть выполнены с использованием цветного принтера. Пример оформления рисунков приведен в </w:t>
      </w:r>
      <w:hyperlink r:id="rId19" w:anchor="Прил14" w:history="1">
        <w:r w:rsidRPr="00900B32">
          <w:rPr>
            <w:rFonts w:ascii="Times New Roman" w:eastAsia="Times New Roman" w:hAnsi="Times New Roman" w:cs="Times New Roman"/>
            <w:i/>
            <w:iCs/>
            <w:color w:val="0F9300"/>
            <w:sz w:val="27"/>
            <w:u w:val="single"/>
            <w:lang w:eastAsia="ru-RU"/>
          </w:rPr>
          <w:t>Приложении 1.4</w:t>
        </w:r>
      </w:hyperlink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>.</w:t>
      </w:r>
    </w:p>
    <w:p w:rsidR="00900B32" w:rsidRPr="00900B32" w:rsidRDefault="00900B32" w:rsidP="00900B32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Таблицы нумеруются арабскими цифрами (нумерация сквозная). Слово «Таблица» и ее номер пишется не жирным шрифтом вверху с правой стороны над таблицей. Ниже слова «Таблица» посередине строки помещают ее название (12 жирным шрифтом через 1 интервал), которое начинается с заглавной буквы. Заголовки строк и столбцов также выделяются жирным шрифтом. Таблицы располагают сразу же после первой ссылки на них в тексте курсовой работы.  Если таблица упоминается в тексте повторно, то в скобках указывается страница, на которой она помещена. Примеры оформления таблиц приведены в </w:t>
      </w:r>
      <w:hyperlink r:id="rId20" w:anchor="Прил226н" w:history="1">
        <w:r w:rsidRPr="00900B32">
          <w:rPr>
            <w:rFonts w:ascii="Times New Roman" w:eastAsia="Times New Roman" w:hAnsi="Times New Roman" w:cs="Times New Roman"/>
            <w:i/>
            <w:iCs/>
            <w:color w:val="0F9300"/>
            <w:sz w:val="27"/>
            <w:u w:val="single"/>
            <w:lang w:eastAsia="ru-RU"/>
          </w:rPr>
          <w:t>Приложении 2.2.6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, </w:t>
      </w:r>
      <w:hyperlink r:id="rId21" w:anchor="Прил229ск" w:history="1">
        <w:r w:rsidRPr="00900B32">
          <w:rPr>
            <w:rFonts w:ascii="Times New Roman" w:eastAsia="Times New Roman" w:hAnsi="Times New Roman" w:cs="Times New Roman"/>
            <w:i/>
            <w:iCs/>
            <w:color w:val="0F9300"/>
            <w:sz w:val="27"/>
            <w:u w:val="single"/>
            <w:lang w:eastAsia="ru-RU"/>
          </w:rPr>
          <w:t>Приложении 2.2.9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и др. Пример оформления таблицы размером больше одной страницы приведен в </w:t>
      </w:r>
      <w:hyperlink r:id="rId22" w:anchor="налоги235н" w:history="1">
        <w:r w:rsidRPr="00900B32">
          <w:rPr>
            <w:rFonts w:ascii="Times New Roman" w:eastAsia="Times New Roman" w:hAnsi="Times New Roman" w:cs="Times New Roman"/>
            <w:i/>
            <w:iCs/>
            <w:color w:val="0F9300"/>
            <w:sz w:val="27"/>
            <w:u w:val="single"/>
            <w:lang w:eastAsia="ru-RU"/>
          </w:rPr>
          <w:t>Приложении 2.3.5.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Перенос заголовка таблицы на последующие страницы осуществляется с помощью редактора Word в следующей последовательности: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- выделить курсором заголовок таблицы → щелкнуть правой клавишей мыши на выделенном заголовке → в появившемся диалоговом окне выбрать из меню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«Свойства таблицы» → перейти в закладку «Строка» → поставить галочку в квадратике с обозначением «Повторять как заголовок на каждой странице» → Ok.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Текст в иллюстрационных материалах (рисунках и таблицах) печатается 10 - 11 шрифтом через 1 интервал.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8. Литературная обработка и окончательное оформление текста курсовой работы.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К оформлению чистового варианта курсовой работы студенты приступают после учета замечаний руководителя, внесения собственных изменений и дополнений. Содержание готовой курсовой работы должно свидетельствовать о глубоком знании автором предмета изучения, а так же важнейших законов, иных нормативных актов, специальной литературы и других источников, относящихся к выбранной теме исследования.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При цитировании положений из литературы цитируемый текст заключается в кавычки и приводится в той грамматической форме, в которой он дан в источнике. Если цитата воспроизводит только часть предложения цитируемого текста, то после открывающихся кавычек ставят отточие, и начинают ее со строчной буквы. Строчная буква ставится и в том случае, когда цитата органически входит в состав предложения, независимо от того, как она начиналась в источнике. Цитаты не должны превышать 10 % объема курсовой работы.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Материал курсовой работы должен быть изложен самостоятельно, творчески и отражать отношение студента к тем точкам зрения, с которыми он встретился при изучении теории и практики. Изложив свое мнение по спорному вопросу, студент должен указать, какую из названных точек зрения он поддерживает и почему, либо высказать и мотивировать свое мнение на рассматриваемую проблему. Непонимание вопросов, изложенных в работе, их механическая, дословная переписка из учебников, монографий, журналов неизбежно обнаруживается при рецензировании или защите курсовой работы и существенно влияет на ее оценку.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Курсовая работа должна быть написана хорошим научным языком, т.е. с соблюдением общих норм литературного языка, правил грамматики и с учетом особенностей научной речи, - точности и однозначности терминологии и стиля.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Законченная курсовая работа проверяется руководителем и возвращается студенту для защиты либо исправления и доработки. </w:t>
      </w:r>
    </w:p>
    <w:p w:rsidR="00900B32" w:rsidRPr="00900B32" w:rsidRDefault="00900B32" w:rsidP="00900B32">
      <w:pPr>
        <w:pBdr>
          <w:bottom w:val="single" w:sz="12" w:space="4" w:color="989898"/>
        </w:pBdr>
        <w:spacing w:after="150" w:line="240" w:lineRule="auto"/>
        <w:outlineLvl w:val="0"/>
        <w:rPr>
          <w:rFonts w:ascii="Arial" w:eastAsia="Times New Roman" w:hAnsi="Arial" w:cs="Arial"/>
          <w:caps/>
          <w:color w:val="660066"/>
          <w:kern w:val="36"/>
          <w:sz w:val="36"/>
          <w:szCs w:val="36"/>
          <w:lang w:eastAsia="ru-RU"/>
        </w:rPr>
      </w:pPr>
      <w:r w:rsidRPr="00900B32">
        <w:rPr>
          <w:rFonts w:ascii="Arial" w:eastAsia="Times New Roman" w:hAnsi="Arial" w:cs="Arial"/>
          <w:caps/>
          <w:color w:val="660066"/>
          <w:kern w:val="36"/>
          <w:sz w:val="36"/>
          <w:szCs w:val="36"/>
          <w:lang w:eastAsia="ru-RU"/>
        </w:rPr>
        <w:t>1.3. Защита курсовой работы и критерии оценок</w:t>
      </w:r>
    </w:p>
    <w:p w:rsidR="00900B32" w:rsidRPr="00900B32" w:rsidRDefault="00900B32" w:rsidP="00900B32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0066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61925" cy="142875"/>
            <wp:effectExtent l="19050" t="0" r="9525" b="0"/>
            <wp:docPr id="13" name="Рисунок 13" descr="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">
              <a:hlinkClick xmlns:a="http://schemas.openxmlformats.org/drawingml/2006/main" r:id="rId5" tooltip="&quot;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">
                      <a:hlinkClick r:id="rId5" tooltip="&quot;Электронное методическое пособие «Единые требования и интерактивные методические рекомендации по написанию и защите курсовых работ. Финансы и креди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B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/ </w:t>
      </w:r>
      <w:hyperlink r:id="rId23" w:tooltip="1. Общие положения по написанию и защите курсовых работ" w:history="1">
        <w:r w:rsidRPr="00900B32">
          <w:rPr>
            <w:rFonts w:ascii="Arial" w:eastAsia="Times New Roman" w:hAnsi="Arial" w:cs="Arial"/>
            <w:color w:val="660066"/>
            <w:sz w:val="21"/>
            <w:u w:val="single"/>
            <w:lang w:eastAsia="ru-RU"/>
          </w:rPr>
          <w:t>1. Общие положения по написанию и защите курсовых работ</w:t>
        </w:r>
      </w:hyperlink>
      <w:r w:rsidRPr="00900B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/ </w:t>
      </w:r>
      <w:hyperlink r:id="rId24" w:tooltip="1.3. Защита курсовой работы и критерии оценок" w:history="1">
        <w:r w:rsidRPr="00900B32">
          <w:rPr>
            <w:rFonts w:ascii="Arial" w:eastAsia="Times New Roman" w:hAnsi="Arial" w:cs="Arial"/>
            <w:color w:val="660066"/>
            <w:sz w:val="21"/>
            <w:u w:val="single"/>
            <w:lang w:eastAsia="ru-RU"/>
          </w:rPr>
          <w:t>1.3. Защита курсовой работы и критерии оценок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Курсовые работы принимаются в порядке открытой защиты. Защита проводится в специальной комиссии при непосредственном участии руководителя курсовой работы. Сроки защиты устанавливаются кафедрой. Студент, не защитивший работу в срок, не допускается к экзамену по соответствующей дисциплине.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На защите работы студент должен кратко изложить основные результаты выполненной работы, ответить на замечания и заданные членами комиссии вопросы. В результате защиты курсовая работа оценивается комиссией по пятибалльной системе. После защиты курсовая работа остается на кафедре. Курсовые работы, имеющие теоретический и практический интерес, могут быть переданы на конкурсы студенческих научных работ, а так же использоваться при написании дипломных работ.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u w:val="single"/>
          <w:lang w:eastAsia="ru-RU"/>
        </w:rPr>
        <w:t>Критерии оценки курсовой работы: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- степень усвоения студентом понятий и категорий по теме исследования;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- умение работать с нормативной документацией и литературными источниками;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глубина проработки предмета исследования;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- умение формулировать основные выводы и предложения по результатам анализа конкретного материала;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- грамотность изложения;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- соответствие оформления курсовой работы установленным требованиям.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оценке курсовых работ руководитель обращает также внимание на следующие распространенные ошибки: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отсутствие четкости в определении основного содержания курсовой работы, убедительных доказательств, обоснований, выводов и рекомендаций;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нарушение последовательности изложения, повторения, грамматические и стилистические ошибки;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излагаемые по тексту примеры не подкреплены смысловым содержанием, размышлениями автора;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курсовая работа представляет собой пересказ литературных источников, набор цитат и фраз;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- защита работы после установленного срока (при защите курсовой работы после установленного срока без уважительной причины она не может быть аттестована на оценку «отлично»);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превышение установленного объема курсовой работы.</w:t>
      </w:r>
    </w:p>
    <w:p w:rsidR="00900B32" w:rsidRPr="00900B32" w:rsidRDefault="00900B32" w:rsidP="00900B32">
      <w:pPr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 </w:t>
      </w:r>
      <w:hyperlink r:id="rId25" w:anchor="пр11н" w:history="1">
        <w:r w:rsidRPr="00900B32">
          <w:rPr>
            <w:rFonts w:ascii="Times New Roman" w:eastAsia="Times New Roman" w:hAnsi="Times New Roman" w:cs="Times New Roman"/>
            <w:b/>
            <w:bCs/>
            <w:i/>
            <w:iCs/>
            <w:color w:val="0F9300"/>
            <w:sz w:val="27"/>
            <w:u w:val="single"/>
            <w:lang w:eastAsia="ru-RU"/>
          </w:rPr>
          <w:t>Приложение 1.1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6" w:anchor="Прил11фг105" w:history="1">
        <w:r w:rsidRPr="00900B32">
          <w:rPr>
            <w:rFonts w:ascii="Times New Roman" w:eastAsia="Times New Roman" w:hAnsi="Times New Roman" w:cs="Times New Roman"/>
            <w:b/>
            <w:bCs/>
            <w:i/>
            <w:iCs/>
            <w:color w:val="0F9300"/>
            <w:sz w:val="27"/>
            <w:u w:val="single"/>
            <w:lang w:eastAsia="ru-RU"/>
          </w:rPr>
          <w:t>Официальные и рекомендуемые электронные средства информации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Министерство финансов </w:t>
      </w:r>
      <w:hyperlink r:id="rId27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http://www.minfin.ru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Отчеты по исполнению бюджетов, макроэкономические показатели, информация о выпуске ценных бумаг, внешнем долге РФ и др. 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Центральный Банк Российской Федерации </w:t>
      </w:r>
      <w:hyperlink r:id="rId28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http://www.cbr.ru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Официальная информация ЦБ РФ о состоянии денежно-кредитной сферы, банковской системы, финансовых рынков и других подсистем экономики страны.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6"/>
        <w:gridCol w:w="6489"/>
      </w:tblGrid>
      <w:tr w:rsidR="00900B32" w:rsidRPr="00900B32" w:rsidTr="00900B32">
        <w:tc>
          <w:tcPr>
            <w:tcW w:w="312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Годовой отчет ЦБ РФ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    </w:t>
            </w:r>
            <w:hyperlink r:id="rId29" w:history="1">
              <w:r w:rsidRPr="00900B32">
                <w:rPr>
                  <w:rFonts w:ascii="Times New Roman" w:eastAsia="Times New Roman" w:hAnsi="Times New Roman" w:cs="Times New Roman"/>
                  <w:color w:val="0F9300"/>
                  <w:sz w:val="27"/>
                  <w:u w:val="single"/>
                  <w:lang w:eastAsia="ru-RU"/>
                </w:rPr>
                <w:t>www.cbr.ru/today/annual_report</w:t>
              </w:r>
            </w:hyperlink>
          </w:p>
        </w:tc>
      </w:tr>
    </w:tbl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3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>. Госкомстат России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hyperlink r:id="rId30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http://www.gks.ru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Основные социально-экономические показатели России, краткая информация по регионам, ссылки на национальные статистические службы мира и др. 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4.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Центр макроэкономического анализа  </w:t>
      </w:r>
      <w:hyperlink r:id="rId31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http://www.forecast.ru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Индикаторы экономического развития России, мониторинг основных макроэкономических тенденций, аналитические материалы, новости, прогнозы. 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5.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Статистический портал Высшей Школы Экономики </w:t>
      </w:r>
      <w:hyperlink r:id="rId32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http://stat.hse/ru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6.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Федеральная служба государственной статистики  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http://</w:t>
      </w:r>
      <w:hyperlink r:id="rId33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www.gks.ru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7.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Официальная статистика на сервере RBC.ru </w:t>
      </w:r>
      <w:hyperlink r:id="rId34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http://www.rbc.ru/gks/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8.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>Федеральная налоговая служба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     http://</w:t>
      </w:r>
      <w:hyperlink r:id="rId35" w:history="1">
        <w:r w:rsidRPr="00900B32">
          <w:rPr>
            <w:rFonts w:ascii="Times New Roman" w:eastAsia="Times New Roman" w:hAnsi="Times New Roman" w:cs="Times New Roman"/>
            <w:color w:val="660066"/>
            <w:sz w:val="27"/>
            <w:u w:val="single"/>
            <w:lang w:eastAsia="ru-RU"/>
          </w:rPr>
          <w:t>www.nalog.ru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; http://</w:t>
      </w:r>
      <w:hyperlink r:id="rId36" w:history="1">
        <w:r w:rsidRPr="00900B32">
          <w:rPr>
            <w:rFonts w:ascii="Times New Roman" w:eastAsia="Times New Roman" w:hAnsi="Times New Roman" w:cs="Times New Roman"/>
            <w:color w:val="660066"/>
            <w:sz w:val="27"/>
            <w:u w:val="single"/>
            <w:lang w:eastAsia="ru-RU"/>
          </w:rPr>
          <w:t>www.nalogPort7.ru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9.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Федеральная таможенная служба  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http://</w:t>
      </w:r>
      <w:hyperlink r:id="rId37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www.customs.ru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10.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Федеральная cлужба по финансовому мониторингу  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http://</w:t>
      </w:r>
      <w:hyperlink r:id="rId38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www.fedsfm.ru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11.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Федеральная  служба по финансовым рынкам  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http://</w:t>
      </w:r>
      <w:hyperlink r:id="rId39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www.ffms.ru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12.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Федеральное казначейство  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http://</w:t>
      </w:r>
      <w:hyperlink r:id="rId40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www.roskazna.ru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13.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Министерство экономического развития  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http://</w:t>
      </w:r>
      <w:hyperlink r:id="rId41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www.economy.gov.ru</w:t>
        </w:r>
      </w:hyperlink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14.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Федеральная служба финансово-бюджетного надзора 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http://</w:t>
      </w:r>
      <w:hyperlink r:id="rId42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www.rosfinnadzor.ru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15.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 xml:space="preserve"> Адреса международных экономических и финансовых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22"/>
        <w:gridCol w:w="6673"/>
      </w:tblGrid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Всемирная торговая организация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3" w:history="1">
              <w:r w:rsidRPr="00900B32">
                <w:rPr>
                  <w:rFonts w:ascii="Times New Roman" w:eastAsia="Times New Roman" w:hAnsi="Times New Roman" w:cs="Times New Roman"/>
                  <w:color w:val="0F9300"/>
                  <w:sz w:val="27"/>
                  <w:u w:val="single"/>
                  <w:lang w:eastAsia="ru-RU"/>
                </w:rPr>
                <w:t>www.wto.org</w:t>
              </w:r>
            </w:hyperlink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Международный валютный фонд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4" w:history="1">
              <w:r w:rsidRPr="00900B32">
                <w:rPr>
                  <w:rFonts w:ascii="Times New Roman" w:eastAsia="Times New Roman" w:hAnsi="Times New Roman" w:cs="Times New Roman"/>
                  <w:color w:val="0F9300"/>
                  <w:sz w:val="27"/>
                  <w:u w:val="single"/>
                  <w:lang w:eastAsia="ru-RU"/>
                </w:rPr>
                <w:t>www.imf.org</w:t>
              </w:r>
            </w:hyperlink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Международный банк реконструкции и развития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5" w:history="1">
              <w:r w:rsidRPr="00900B32">
                <w:rPr>
                  <w:rFonts w:ascii="Times New Roman" w:eastAsia="Times New Roman" w:hAnsi="Times New Roman" w:cs="Times New Roman"/>
                  <w:color w:val="0F9300"/>
                  <w:sz w:val="27"/>
                  <w:u w:val="single"/>
                  <w:lang w:eastAsia="ru-RU"/>
                </w:rPr>
                <w:t>www.worldbank.org/ibrd</w:t>
              </w:r>
            </w:hyperlink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Европейский союз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6" w:history="1">
              <w:r w:rsidRPr="00900B32">
                <w:rPr>
                  <w:rFonts w:ascii="Times New Roman" w:eastAsia="Times New Roman" w:hAnsi="Times New Roman" w:cs="Times New Roman"/>
                  <w:color w:val="0F9300"/>
                  <w:sz w:val="27"/>
                  <w:u w:val="single"/>
                  <w:lang w:eastAsia="ru-RU"/>
                </w:rPr>
                <w:t>www.europa.eu.int</w:t>
              </w:r>
            </w:hyperlink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Организация экономического сотрудничества и развития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7" w:history="1">
              <w:r w:rsidRPr="00900B32">
                <w:rPr>
                  <w:rFonts w:ascii="Times New Roman" w:eastAsia="Times New Roman" w:hAnsi="Times New Roman" w:cs="Times New Roman"/>
                  <w:color w:val="0F9300"/>
                  <w:sz w:val="27"/>
                  <w:u w:val="single"/>
                  <w:lang w:eastAsia="ru-RU"/>
                </w:rPr>
                <w:t>www.oecd.org</w:t>
              </w:r>
            </w:hyperlink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Всемирный банк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8" w:history="1">
              <w:r w:rsidRPr="00900B32">
                <w:rPr>
                  <w:rFonts w:ascii="Times New Roman" w:eastAsia="Times New Roman" w:hAnsi="Times New Roman" w:cs="Times New Roman"/>
                  <w:color w:val="0F9300"/>
                  <w:sz w:val="27"/>
                  <w:u w:val="single"/>
                  <w:lang w:eastAsia="ru-RU"/>
                </w:rPr>
                <w:t>www.worldbank.org</w:t>
              </w:r>
            </w:hyperlink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Международная финансовая корпорация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9" w:history="1">
              <w:r w:rsidRPr="00900B32">
                <w:rPr>
                  <w:rFonts w:ascii="Times New Roman" w:eastAsia="Times New Roman" w:hAnsi="Times New Roman" w:cs="Times New Roman"/>
                  <w:color w:val="0F9300"/>
                  <w:sz w:val="27"/>
                  <w:u w:val="single"/>
                  <w:lang w:eastAsia="ru-RU"/>
                </w:rPr>
                <w:t>www.ifc.org</w:t>
              </w:r>
            </w:hyperlink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900B32" w:rsidRPr="00900B32" w:rsidTr="00900B32">
        <w:tc>
          <w:tcPr>
            <w:tcW w:w="285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</w:tbl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b/>
          <w:bCs/>
          <w:i/>
          <w:iCs/>
          <w:color w:val="464646"/>
          <w:sz w:val="27"/>
          <w:szCs w:val="27"/>
          <w:lang w:eastAsia="ru-RU"/>
        </w:rPr>
        <w:br w:type="textWrapping" w:clear="all"/>
      </w:r>
    </w:p>
    <w:p w:rsidR="00900B32" w:rsidRPr="00900B32" w:rsidRDefault="00900B32" w:rsidP="00900B32">
      <w:pPr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0" w:anchor="пр12н" w:history="1">
        <w:r w:rsidRPr="00900B32">
          <w:rPr>
            <w:rFonts w:ascii="Times New Roman" w:eastAsia="Times New Roman" w:hAnsi="Times New Roman" w:cs="Times New Roman"/>
            <w:b/>
            <w:bCs/>
            <w:i/>
            <w:iCs/>
            <w:color w:val="0F9300"/>
            <w:sz w:val="27"/>
            <w:u w:val="single"/>
            <w:lang w:eastAsia="ru-RU"/>
          </w:rPr>
          <w:t>Приложение 1.2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lastRenderedPageBreak/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Образец оформления списка использованной литературы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Список использованной литературы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I. Нормативно-правовые материалы</w:t>
      </w:r>
      <w:hyperlink r:id="rId51" w:anchor="_ftn1" w:tooltip="" w:history="1">
        <w:r w:rsidRPr="00900B32">
          <w:rPr>
            <w:rFonts w:ascii="Arial" w:eastAsia="Times New Roman" w:hAnsi="Arial" w:cs="Arial"/>
            <w:b/>
            <w:bCs/>
            <w:color w:val="0F9300"/>
            <w:sz w:val="27"/>
            <w:u w:val="single"/>
            <w:lang w:eastAsia="ru-RU"/>
          </w:rPr>
          <w:t>[1]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 Гражданский кодекс Российской Федерации (часть первая) от 30.11.1994 № 51-ФЗ (ред. от __.__.__).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 О банках и банковской деятельности: Федеральный закон от 02.12.1990 № 395-1 (ред. от __.__.__).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3. О порядке предоставления (размещении) кредитными орга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низациями денежных средств и их возврата (погашения): Поло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 xml:space="preserve">жение ЦБ РФ 54-П от 31.08.1998 г. (ред. от __.__.__) 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4. Об особенностях использования рейтингов кредитоспособности в целях применения нормативных актов Банка России: Указание Банка России от 25.11.2014 N 3453-У.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5. О некоторых вопросах, связанных с ведением кредитными организациями банковских счетов лиц, находящихся в процедурах банкротства: Постановление Пленума ВАС РФ от 06.06.2014 N 36.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 т.д.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 xml:space="preserve">II. Специальная литература 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>(указываются источники не позже 5-летней давности на дату написания курсовой работы, кроме исторических обзоров)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6. Банковское дело: розничный бизнес: учеб. пособие / кол. авторов; под ред. Г. Н. Белоглазовой, Л. П. Кроливецкой. – М.: КНОРУС, 2013. – 516 с.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7. Бычков, А. Банковский депозит. Взыскание неполученных процентов в качестве упущенной выгоды / А. Бычков // Финансовая газета. – 2014. – № 45.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8. Ерпылева, Н. Ю., Солодков, В.М.Депозитные и сберегательные сертификаты российских кредитных организаций: экономические и правовые аспекты регулирования / Н. Ю. Ерпылева, Солодков В.М. // За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ко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но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дательство и эконо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мика. – 2014. – № 1 // СПС «Консуль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тантПлюс».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9. Михеева, И.Е. Гарантийный депозит в банковской практике / И.Е. Михеева // Юридическая работа в кредитной организации. – 2014. - № 2 // СПС «Консуль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тантПлюс».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 т. д.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III. Электронные средства информации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10. Алексеева, Д. Правовые риски работы с гарантиями // Информа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цион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 xml:space="preserve">ный портал Банковское обозрение. ГКДЖ </w:t>
      </w:r>
      <w:hyperlink r:id="rId52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http://bo.bdc.ru/2010 /5/riski_garantiy.htm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(дата обращения: __.__.__).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11. Ануфриев, С. Инвестиции в жилье возвращаются // ИА Банкир.ру. URL: </w:t>
      </w:r>
      <w:hyperlink r:id="rId53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http://bankir.ru/publication/article/8511988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(дата обращения: __.__.__).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12. Капитал припишут к Родине // Официальный сайт Российской газеты от 13.12.2013. URL: </w:t>
      </w:r>
      <w:hyperlink r:id="rId54" w:tgtFrame="_blank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http://www.rg.ru/2013/12/13/mirkin.html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(дата обращения __.__.__).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13. Осипова-Еремина, А. В. Бухгалтерский учет операций по предо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став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лению и сопровождению банковских гарантий // GAAP.RU: тео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 xml:space="preserve">рия и практика бухгалтерского учета. URL: </w:t>
      </w:r>
      <w:hyperlink r:id="rId55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http://gaap.ru/articles/77234/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(дата обращения: __.__.__).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14. Финансовая отчетность по МСФО// ОАО «Сбербанк России».URL:  </w:t>
      </w:r>
      <w:hyperlink r:id="rId56" w:tgtFrame="_blank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http://www.sberbank.ru/yaroslavl/ru/investor_relations/accountability/fin_reports_ifrs/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(дата обращения: __.__.__).</w:t>
      </w:r>
    </w:p>
    <w:p w:rsidR="00900B32" w:rsidRPr="00900B32" w:rsidRDefault="00900B32" w:rsidP="00900B32">
      <w:pPr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7" w:anchor="Прил13" w:history="1">
        <w:r w:rsidRPr="00900B32">
          <w:rPr>
            <w:rFonts w:ascii="Times New Roman" w:eastAsia="Times New Roman" w:hAnsi="Times New Roman" w:cs="Times New Roman"/>
            <w:b/>
            <w:bCs/>
            <w:i/>
            <w:iCs/>
            <w:color w:val="0F9300"/>
            <w:sz w:val="27"/>
            <w:u w:val="single"/>
            <w:lang w:eastAsia="ru-RU"/>
          </w:rPr>
          <w:t>Приложение 1.3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Образец оформления формул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n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= (X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N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min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) / (X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max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min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)                                                 (1)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где:     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n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– приведенный показатель расходов бюджета на душу населения в отчетном периоде;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N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– абсолютная величина соответствующих расходов бюджета на душу населения в отчетном периоде;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min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– минимальное значение соответствующих расходов бюджета на душу населения по всем территориальным образованиям Ярославской области в базисном периоде;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vertAlign w:val="subscript"/>
          <w:lang w:eastAsia="ru-RU"/>
        </w:rPr>
        <w:t>max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– максимальное значение соответствующих расходов бюджета на душу населения по всем территориальным образованиям Ярославской области в базисном периоде</w:t>
      </w:r>
      <w:hyperlink r:id="rId58" w:anchor="_ftn2" w:tooltip="" w:history="1">
        <w:r w:rsidRPr="00900B32">
          <w:rPr>
            <w:rFonts w:ascii="Arial" w:eastAsia="Times New Roman" w:hAnsi="Arial" w:cs="Arial"/>
            <w:color w:val="0F9300"/>
            <w:sz w:val="27"/>
            <w:u w:val="single"/>
            <w:lang w:eastAsia="ru-RU"/>
          </w:rPr>
          <w:t>[2]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40"/>
        <w:gridCol w:w="555"/>
      </w:tblGrid>
      <w:tr w:rsidR="00900B32" w:rsidRPr="00900B32" w:rsidTr="00900B32">
        <w:tc>
          <w:tcPr>
            <w:tcW w:w="9105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7"/>
                <w:szCs w:val="27"/>
                <w:lang w:eastAsia="ru-RU"/>
              </w:rPr>
              <w:drawing>
                <wp:inline distT="0" distB="0" distL="0" distR="0">
                  <wp:extent cx="1381125" cy="295275"/>
                  <wp:effectExtent l="19050" t="0" r="9525" b="0"/>
                  <wp:docPr id="14" name="Рисунок 14" descr="http://book.uniyar.ac.ru/bitrix/tools/i/?small=/upload/books/book-18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ook.uniyar.ac.ru/bitrix/tools/i/?small=/upload/books/book-18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465" w:type="dxa"/>
            <w:tcBorders>
              <w:top w:val="single" w:sz="6" w:space="0" w:color="C4C4C4"/>
              <w:bottom w:val="single" w:sz="6" w:space="0" w:color="C4C4C4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900B32" w:rsidRPr="00900B32" w:rsidRDefault="00900B32" w:rsidP="00900B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00B3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(2)</w:t>
            </w:r>
          </w:p>
        </w:tc>
      </w:tr>
    </w:tbl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где:    Н – налоговая нагрузка</w:t>
      </w:r>
      <w:hyperlink r:id="rId60" w:anchor="_ftn3" w:tooltip="" w:history="1">
        <w:r w:rsidRPr="00900B32">
          <w:rPr>
            <w:rFonts w:ascii="Arial" w:eastAsia="Times New Roman" w:hAnsi="Arial" w:cs="Arial"/>
            <w:b/>
            <w:bCs/>
            <w:color w:val="0F9300"/>
            <w:sz w:val="27"/>
            <w:u w:val="single"/>
            <w:lang w:eastAsia="ru-RU"/>
          </w:rPr>
          <w:t>[3]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УН – общая сумма уплаченных налогов в отчетном периоде,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УНА – сумма налогов, уплаченных в качестве налогового агента в отчетном периоде;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– выручка от реализации товаров, работ, услуг за отчетный период;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ДУ - доходы от участия в других организациях;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ПП - проценты к получению;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ПД - прочие доходы.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1" w:anchor="Прил14кб" w:history="1">
        <w:r w:rsidRPr="00900B32">
          <w:rPr>
            <w:rFonts w:ascii="Times New Roman" w:eastAsia="Times New Roman" w:hAnsi="Times New Roman" w:cs="Times New Roman"/>
            <w:b/>
            <w:bCs/>
            <w:i/>
            <w:iCs/>
            <w:color w:val="0F9300"/>
            <w:sz w:val="27"/>
            <w:u w:val="single"/>
            <w:lang w:eastAsia="ru-RU"/>
          </w:rPr>
          <w:t>Приложение 1.4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Образец оформления рисунков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464646"/>
          <w:sz w:val="27"/>
          <w:szCs w:val="27"/>
          <w:lang w:eastAsia="ru-RU"/>
        </w:rPr>
        <w:lastRenderedPageBreak/>
        <w:drawing>
          <wp:inline distT="0" distB="0" distL="0" distR="0">
            <wp:extent cx="4448175" cy="3057525"/>
            <wp:effectExtent l="19050" t="0" r="9525" b="0"/>
            <wp:docPr id="15" name="Рисунок 15" descr="http://book.uniyar.ac.ru/bitrix/tools/i/?small=/upload/books/book-18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ook.uniyar.ac.ru/bitrix/tools/i/?small=/upload/books/book-180/2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900B32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Рис. 1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 Связь налоговой нагрузки и налогового менеджмента [24]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464646"/>
          <w:sz w:val="27"/>
          <w:szCs w:val="27"/>
          <w:lang w:eastAsia="ru-RU"/>
        </w:rPr>
        <w:drawing>
          <wp:inline distT="0" distB="0" distL="0" distR="0">
            <wp:extent cx="4448175" cy="2390775"/>
            <wp:effectExtent l="19050" t="0" r="9525" b="0"/>
            <wp:docPr id="16" name="Рисунок 16" descr="http://book.uniyar.ac.ru/bitrix/tools/i/?small=/upload/books/book-18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ook.uniyar.ac.ru/bitrix/tools/i/?small=/upload/books/book-180/3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Рис. 4</w:t>
      </w: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 Взаимосвязь налоговой нагрузки и налоговых рисков организации [13]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4" w:anchor="пр15" w:history="1">
        <w:r w:rsidRPr="00900B32">
          <w:rPr>
            <w:rFonts w:ascii="Times New Roman" w:eastAsia="Times New Roman" w:hAnsi="Times New Roman" w:cs="Times New Roman"/>
            <w:b/>
            <w:bCs/>
            <w:i/>
            <w:iCs/>
            <w:color w:val="0F9300"/>
            <w:sz w:val="27"/>
            <w:u w:val="single"/>
            <w:lang w:eastAsia="ru-RU"/>
          </w:rPr>
          <w:t>Приложение 1.5</w:t>
        </w:r>
      </w:hyperlink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Образец оформления списка приложений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i/>
          <w:iCs/>
          <w:color w:val="464646"/>
          <w:sz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Список приложений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Приложение 1. Устав ИКБР «Яринтербанк» (ООО)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2. ОГРНЮЛ ИКБР «Яринтербанк» (ООО)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3. ИНН ИКБР «Яринтербанк» (ООО)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4. Должностные обязанности служащих Отдела кредитования ИКБР «Яринтербанк» (ООО)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5. Заявление-анкета на получение кредита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6. Единый список документов для кредитования субъектов малого предпринимательства в ИКБР «Яринтербанк» (ООО)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7. Лист первичного андеррайтинга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8. Аналитический формуляр-резюме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9. Риск-формуляр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10. Кредитный договор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11. Расчет полной стоимости кредита, график погашения задолженности и уплаты процентов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12. Договор о залоге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13. Долгосрочное поручение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14. Перечень страховых компаний, соответствующих требованиям ИКБР «Яринтербанк» (ООО) к страховым организациям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15. Требования к обеспечению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16. Экспертное заключение о выдаче кредита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17. Информационный лист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Приложение 18. Заявление о досрочном погашении кредита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900B32" w:rsidRPr="00900B32" w:rsidRDefault="00900B32" w:rsidP="0090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 т.д.</w:t>
      </w:r>
    </w:p>
    <w:p w:rsidR="00900B32" w:rsidRPr="00900B32" w:rsidRDefault="00900B32" w:rsidP="00900B32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</w:r>
    </w:p>
    <w:p w:rsidR="00900B32" w:rsidRPr="00900B32" w:rsidRDefault="00900B32" w:rsidP="00900B32">
      <w:pPr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0B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5" w:anchor="_ftnref1" w:tooltip="" w:history="1">
        <w:r w:rsidRPr="00900B32">
          <w:rPr>
            <w:rFonts w:ascii="Arial" w:eastAsia="Times New Roman" w:hAnsi="Arial" w:cs="Arial"/>
            <w:color w:val="0F9300"/>
            <w:sz w:val="27"/>
            <w:u w:val="single"/>
            <w:lang w:eastAsia="ru-RU"/>
          </w:rPr>
          <w:t>[1]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 При составлении списка нормативно-правовых  материалов использована справочная правовая система «Консультант-Плюс» в редакциях документов по состоянию на </w:t>
      </w:r>
      <w:r w:rsidRPr="00900B32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>(дата обращения: __.__.__).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6" w:anchor="_ftnref2" w:tooltip="" w:history="1">
        <w:r w:rsidRPr="00900B32">
          <w:rPr>
            <w:rFonts w:ascii="Arial" w:eastAsia="Times New Roman" w:hAnsi="Arial" w:cs="Arial"/>
            <w:color w:val="0F9300"/>
            <w:sz w:val="27"/>
            <w:u w:val="single"/>
            <w:lang w:eastAsia="ru-RU"/>
          </w:rPr>
          <w:t>[2]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Ахмадиева Г.Г. Влияние бюджетной политики на социальное развитие ведущих муниципальных  образований Камского экономического района Республики Татарстан. URL: </w:t>
      </w:r>
      <w:hyperlink r:id="rId67" w:history="1">
        <w:r w:rsidRPr="00900B32">
          <w:rPr>
            <w:rFonts w:ascii="Times New Roman" w:eastAsia="Times New Roman" w:hAnsi="Times New Roman" w:cs="Times New Roman"/>
            <w:color w:val="0F9300"/>
            <w:sz w:val="27"/>
            <w:u w:val="single"/>
            <w:lang w:eastAsia="ru-RU"/>
          </w:rPr>
          <w:t>http://www.library.ru/help/docs/n76866/2.pdf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 (дата обращения: 18.04.2014).</w:t>
      </w:r>
    </w:p>
    <w:p w:rsidR="00900B32" w:rsidRPr="00900B32" w:rsidRDefault="00900B32" w:rsidP="00900B32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8" w:anchor="_ftnref3" w:tooltip="" w:history="1">
        <w:r w:rsidRPr="00900B32">
          <w:rPr>
            <w:rFonts w:ascii="Arial" w:eastAsia="Times New Roman" w:hAnsi="Arial" w:cs="Arial"/>
            <w:color w:val="0F9300"/>
            <w:sz w:val="27"/>
            <w:u w:val="single"/>
            <w:lang w:eastAsia="ru-RU"/>
          </w:rPr>
          <w:t>[3]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</w:t>
      </w:r>
      <w:hyperlink r:id="rId69" w:history="1">
        <w:r w:rsidRPr="00900B32">
          <w:rPr>
            <w:rFonts w:ascii="Times New Roman" w:eastAsia="Times New Roman" w:hAnsi="Times New Roman" w:cs="Times New Roman"/>
            <w:color w:val="106BBE"/>
            <w:sz w:val="27"/>
            <w:u w:val="single"/>
            <w:lang w:eastAsia="ru-RU"/>
          </w:rPr>
          <w:t>риказ</w:t>
        </w:r>
      </w:hyperlink>
      <w:r w:rsidRPr="00900B3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ФНС России от 30.05.07 N ММ-3-06/333@ «Об утверждении Концепции системы планирования выездных налоговых проверок».</w:t>
      </w:r>
    </w:p>
    <w:p w:rsidR="00F46F6A" w:rsidRDefault="00F46F6A"/>
    <w:sectPr w:rsidR="00F46F6A" w:rsidSect="00F4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579C"/>
    <w:multiLevelType w:val="multilevel"/>
    <w:tmpl w:val="6D1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B32"/>
    <w:rsid w:val="00900B32"/>
    <w:rsid w:val="00F4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6A"/>
  </w:style>
  <w:style w:type="paragraph" w:styleId="1">
    <w:name w:val="heading 1"/>
    <w:basedOn w:val="a"/>
    <w:link w:val="10"/>
    <w:uiPriority w:val="9"/>
    <w:qFormat/>
    <w:rsid w:val="00900B32"/>
    <w:pPr>
      <w:pBdr>
        <w:bottom w:val="single" w:sz="12" w:space="4" w:color="989898"/>
      </w:pBdr>
      <w:spacing w:after="150" w:line="240" w:lineRule="auto"/>
      <w:outlineLvl w:val="0"/>
    </w:pPr>
    <w:rPr>
      <w:rFonts w:ascii="Times New Roman" w:eastAsia="Times New Roman" w:hAnsi="Times New Roman" w:cs="Times New Roman"/>
      <w:caps/>
      <w:color w:val="66006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32"/>
    <w:rPr>
      <w:rFonts w:ascii="Times New Roman" w:eastAsia="Times New Roman" w:hAnsi="Times New Roman" w:cs="Times New Roman"/>
      <w:caps/>
      <w:color w:val="660066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0B32"/>
    <w:rPr>
      <w:color w:val="660066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90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0B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B3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0B32"/>
    <w:rPr>
      <w:b/>
      <w:bCs/>
      <w:color w:val="4646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.uniyar.ac.ru/book/elektronnoe_metodicheskoe_posobie_edinye3dd82015/1_2_osnovnye_etapy_vypolneniya_i_oformlee825_1614/" TargetMode="External"/><Relationship Id="rId18" Type="http://schemas.openxmlformats.org/officeDocument/2006/relationships/hyperlink" Target="http://book.uniyar.ac.ru/book/elektronnoe_metodicheskoe_posobie_edinye3dd82015/1_2_osnovnye_etapy_vypolneniya_i_oformlee825_1614/" TargetMode="External"/><Relationship Id="rId26" Type="http://schemas.openxmlformats.org/officeDocument/2006/relationships/hyperlink" Target="http://book.uniyar.ac.ru/book/elektronnoe_metodicheskoe_posobie_edinye3dd82015/1_3_zashchita_kursovoy_raboty_i_kriterii_obcda_1614/" TargetMode="External"/><Relationship Id="rId39" Type="http://schemas.openxmlformats.org/officeDocument/2006/relationships/hyperlink" Target="http://www.ffms.ru/" TargetMode="External"/><Relationship Id="rId21" Type="http://schemas.openxmlformats.org/officeDocument/2006/relationships/hyperlink" Target="http://book.uniyar.ac.ru/book/elektronnoe_metodicheskoe_posobie_edinye3dd82015/1_2_osnovnye_etapy_vypolneniya_i_oformlee825_1614/" TargetMode="External"/><Relationship Id="rId34" Type="http://schemas.openxmlformats.org/officeDocument/2006/relationships/hyperlink" Target="http://www.rbc.ru/gks/" TargetMode="External"/><Relationship Id="rId42" Type="http://schemas.openxmlformats.org/officeDocument/2006/relationships/hyperlink" Target="http://www.rosfinnadzor.ru/" TargetMode="External"/><Relationship Id="rId47" Type="http://schemas.openxmlformats.org/officeDocument/2006/relationships/hyperlink" Target="http://www.oecd.org/" TargetMode="External"/><Relationship Id="rId50" Type="http://schemas.openxmlformats.org/officeDocument/2006/relationships/hyperlink" Target="http://book.uniyar.ac.ru/book/elektronnoe_metodicheskoe_posobie_edinye3dd82015/1_3_zashchita_kursovoy_raboty_i_kriterii_obcda_1614/" TargetMode="External"/><Relationship Id="rId55" Type="http://schemas.openxmlformats.org/officeDocument/2006/relationships/hyperlink" Target="http://gaap.ru/articles/77234/" TargetMode="External"/><Relationship Id="rId63" Type="http://schemas.openxmlformats.org/officeDocument/2006/relationships/image" Target="media/image7.jpeg"/><Relationship Id="rId68" Type="http://schemas.openxmlformats.org/officeDocument/2006/relationships/hyperlink" Target="http://book.uniyar.ac.ru/book/elektronnoe_metodicheskoe_posobie_edinye3dd82015/1_3_zashchita_kursovoy_raboty_i_kriterii_obcda_1614/" TargetMode="External"/><Relationship Id="rId7" Type="http://schemas.openxmlformats.org/officeDocument/2006/relationships/hyperlink" Target="http://book.uniyar.ac.ru/book/elektronnoe_metodicheskoe_posobie_edinye3dd82015/1_obshchie_polozheniya_po_napisaniyu_i_zashchite5fb2_0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9" Type="http://schemas.openxmlformats.org/officeDocument/2006/relationships/hyperlink" Target="http://www.cbr.ru/today/annual_repo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ook.uniyar.ac.ru/book/elektronnoe_metodicheskoe_posobie_edinye3dd82015/1_2_osnovnye_etapy_vypolneniya_i_oformlee825_1614/" TargetMode="External"/><Relationship Id="rId24" Type="http://schemas.openxmlformats.org/officeDocument/2006/relationships/hyperlink" Target="http://book.uniyar.ac.ru/book/elektronnoe_metodicheskoe_posobie_edinye3dd82015/1_3_zashchita_kursovoy_raboty_i_kriterii_obcda_1614/" TargetMode="External"/><Relationship Id="rId32" Type="http://schemas.openxmlformats.org/officeDocument/2006/relationships/hyperlink" Target="http://stat.hse/ru" TargetMode="External"/><Relationship Id="rId37" Type="http://schemas.openxmlformats.org/officeDocument/2006/relationships/hyperlink" Target="http://www.customs.ru/" TargetMode="External"/><Relationship Id="rId40" Type="http://schemas.openxmlformats.org/officeDocument/2006/relationships/hyperlink" Target="http://www.roskazna.ru/" TargetMode="External"/><Relationship Id="rId45" Type="http://schemas.openxmlformats.org/officeDocument/2006/relationships/hyperlink" Target="http://www.worldbank.org/ibrd" TargetMode="External"/><Relationship Id="rId53" Type="http://schemas.openxmlformats.org/officeDocument/2006/relationships/hyperlink" Target="http://bankir.ru/publication/article/8511988" TargetMode="External"/><Relationship Id="rId58" Type="http://schemas.openxmlformats.org/officeDocument/2006/relationships/hyperlink" Target="http://book.uniyar.ac.ru/book/elektronnoe_metodicheskoe_posobie_edinye3dd82015/1_3_zashchita_kursovoy_raboty_i_kriterii_obcda_1614/" TargetMode="External"/><Relationship Id="rId66" Type="http://schemas.openxmlformats.org/officeDocument/2006/relationships/hyperlink" Target="http://book.uniyar.ac.ru/book/elektronnoe_metodicheskoe_posobie_edinye3dd82015/1_3_zashchita_kursovoy_raboty_i_kriterii_obcda_1614/" TargetMode="External"/><Relationship Id="rId5" Type="http://schemas.openxmlformats.org/officeDocument/2006/relationships/hyperlink" Target="http://book.uniyar.ac.ru/book/elektronnoe_metodicheskoe_posobie_edinye3dd82015/" TargetMode="External"/><Relationship Id="rId15" Type="http://schemas.openxmlformats.org/officeDocument/2006/relationships/image" Target="media/image2.gif"/><Relationship Id="rId23" Type="http://schemas.openxmlformats.org/officeDocument/2006/relationships/hyperlink" Target="http://book.uniyar.ac.ru/book/elektronnoe_metodicheskoe_posobie_edinye3dd82015/1_obshchie_polozheniya_po_napisaniyu_i_zashchite5fb2_0/" TargetMode="External"/><Relationship Id="rId28" Type="http://schemas.openxmlformats.org/officeDocument/2006/relationships/hyperlink" Target="http://www.cbr.ru/" TargetMode="External"/><Relationship Id="rId36" Type="http://schemas.openxmlformats.org/officeDocument/2006/relationships/hyperlink" Target="http://www.nalogport7.ru/" TargetMode="External"/><Relationship Id="rId49" Type="http://schemas.openxmlformats.org/officeDocument/2006/relationships/hyperlink" Target="http://www.ifc.org/" TargetMode="External"/><Relationship Id="rId57" Type="http://schemas.openxmlformats.org/officeDocument/2006/relationships/hyperlink" Target="http://book.uniyar.ac.ru/book/elektronnoe_metodicheskoe_posobie_edinye3dd82015/1_3_zashchita_kursovoy_raboty_i_kriterii_obcda_1614/" TargetMode="External"/><Relationship Id="rId61" Type="http://schemas.openxmlformats.org/officeDocument/2006/relationships/hyperlink" Target="http://book.uniyar.ac.ru/book/elektronnoe_metodicheskoe_posobie_edinye3dd82015/1_3_zashchita_kursovoy_raboty_i_kriterii_obcda_1614/" TargetMode="External"/><Relationship Id="rId10" Type="http://schemas.openxmlformats.org/officeDocument/2006/relationships/hyperlink" Target="http://book.uniyar.ac.ru/book/elektronnoe_metodicheskoe_posobie_edinye3dd82015/1_obshchie_polozheniya_po_napisaniyu_i_zashchite5fb2_0/" TargetMode="External"/><Relationship Id="rId19" Type="http://schemas.openxmlformats.org/officeDocument/2006/relationships/hyperlink" Target="http://book.uniyar.ac.ru/book/elektronnoe_metodicheskoe_posobie_edinye3dd82015/1_2_osnovnye_etapy_vypolneniya_i_oformlee825_1614/" TargetMode="External"/><Relationship Id="rId31" Type="http://schemas.openxmlformats.org/officeDocument/2006/relationships/hyperlink" Target="http://www.forecast.ru/" TargetMode="External"/><Relationship Id="rId44" Type="http://schemas.openxmlformats.org/officeDocument/2006/relationships/hyperlink" Target="http://www.imf.org/" TargetMode="External"/><Relationship Id="rId52" Type="http://schemas.openxmlformats.org/officeDocument/2006/relationships/hyperlink" Target="http://bo.bdc.ru/2010/5/riski_garantiy.htm" TargetMode="External"/><Relationship Id="rId60" Type="http://schemas.openxmlformats.org/officeDocument/2006/relationships/hyperlink" Target="http://book.uniyar.ac.ru/book/elektronnoe_metodicheskoe_posobie_edinye3dd82015/1_3_zashchita_kursovoy_raboty_i_kriterii_obcda_1614/" TargetMode="External"/><Relationship Id="rId65" Type="http://schemas.openxmlformats.org/officeDocument/2006/relationships/hyperlink" Target="http://book.uniyar.ac.ru/book/elektronnoe_metodicheskoe_posobie_edinye3dd82015/1_3_zashchita_kursovoy_raboty_i_kriterii_obcda_16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.uniyar.ac.ru/book/elektronnoe_metodicheskoe_posobie_edinye3dd82015/1_1_trebovaniya_predyavlyaemye_k_kursovy3478_1614/" TargetMode="External"/><Relationship Id="rId14" Type="http://schemas.openxmlformats.org/officeDocument/2006/relationships/hyperlink" Target="http://book.uniyar.ac.ru/book/elektronnoe_metodicheskoe_posobie_edinye3dd82015/1_2_osnovnye_etapy_vypolneniya_i_oformlee825_1614/" TargetMode="External"/><Relationship Id="rId22" Type="http://schemas.openxmlformats.org/officeDocument/2006/relationships/hyperlink" Target="http://book.uniyar.ac.ru/book/elektronnoe_metodicheskoe_posobie_edinye3dd82015/1_2_osnovnye_etapy_vypolneniya_i_oformlee825_1614/" TargetMode="External"/><Relationship Id="rId27" Type="http://schemas.openxmlformats.org/officeDocument/2006/relationships/hyperlink" Target="http://www.minfin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nalog.ru/" TargetMode="External"/><Relationship Id="rId43" Type="http://schemas.openxmlformats.org/officeDocument/2006/relationships/hyperlink" Target="http://www.wto.org/" TargetMode="External"/><Relationship Id="rId48" Type="http://schemas.openxmlformats.org/officeDocument/2006/relationships/hyperlink" Target="http://www.worldbank.org/" TargetMode="External"/><Relationship Id="rId56" Type="http://schemas.openxmlformats.org/officeDocument/2006/relationships/hyperlink" Target="http://www.sberbank.ru/yaroslavl/ru/investor_relations/accountability/fin_reports_ifrs/" TargetMode="External"/><Relationship Id="rId64" Type="http://schemas.openxmlformats.org/officeDocument/2006/relationships/hyperlink" Target="http://book.uniyar.ac.ru/book/elektronnoe_metodicheskoe_posobie_edinye3dd82015/1_3_zashchita_kursovoy_raboty_i_kriterii_obcda_1614/" TargetMode="External"/><Relationship Id="rId69" Type="http://schemas.openxmlformats.org/officeDocument/2006/relationships/hyperlink" Target="garantf1://12053820.0/" TargetMode="External"/><Relationship Id="rId8" Type="http://schemas.openxmlformats.org/officeDocument/2006/relationships/hyperlink" Target="http://book.uniyar.ac.ru/book/elektronnoe_metodicheskoe_posobie_edinye3dd82015/1_1_trebovaniya_predyavlyaemye_k_kursovy3478_1614/" TargetMode="External"/><Relationship Id="rId51" Type="http://schemas.openxmlformats.org/officeDocument/2006/relationships/hyperlink" Target="http://book.uniyar.ac.ru/book/elektronnoe_metodicheskoe_posobie_edinye3dd82015/1_3_zashchita_kursovoy_raboty_i_kriterii_obcda_161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ook.uniyar.ac.ru/book/elektronnoe_metodicheskoe_posobie_edinye3dd82015/1_2_osnovnye_etapy_vypolneniya_i_oformlee825_1614/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book.uniyar.ac.ru/book/elektronnoe_metodicheskoe_posobie_edinye3dd82015/1_3_zashchita_kursovoy_raboty_i_kriterii_obcda_1614/" TargetMode="External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://www.fedsfm.ru/" TargetMode="External"/><Relationship Id="rId46" Type="http://schemas.openxmlformats.org/officeDocument/2006/relationships/hyperlink" Target="http://www.europa.eu.int/" TargetMode="External"/><Relationship Id="rId59" Type="http://schemas.openxmlformats.org/officeDocument/2006/relationships/image" Target="media/image5.jpeg"/><Relationship Id="rId67" Type="http://schemas.openxmlformats.org/officeDocument/2006/relationships/hyperlink" Target="http://www.library.ru/help/docs/n76866/2.pdf" TargetMode="External"/><Relationship Id="rId20" Type="http://schemas.openxmlformats.org/officeDocument/2006/relationships/hyperlink" Target="http://book.uniyar.ac.ru/book/elektronnoe_metodicheskoe_posobie_edinye3dd82015/1_2_osnovnye_etapy_vypolneniya_i_oformlee825_1614/" TargetMode="External"/><Relationship Id="rId41" Type="http://schemas.openxmlformats.org/officeDocument/2006/relationships/hyperlink" Target="http://www.economy.gov.ru/" TargetMode="External"/><Relationship Id="rId54" Type="http://schemas.openxmlformats.org/officeDocument/2006/relationships/hyperlink" Target="http://www.rg.ru/2013/12/13/mirkin.html" TargetMode="External"/><Relationship Id="rId62" Type="http://schemas.openxmlformats.org/officeDocument/2006/relationships/image" Target="media/image6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5755</Words>
  <Characters>32807</Characters>
  <Application>Microsoft Office Word</Application>
  <DocSecurity>0</DocSecurity>
  <Lines>273</Lines>
  <Paragraphs>76</Paragraphs>
  <ScaleCrop>false</ScaleCrop>
  <Company>SPecialiST RePack</Company>
  <LinksUpToDate>false</LinksUpToDate>
  <CharactersWithSpaces>38486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2015-12-28T09:27:00Z</dcterms:created>
  <dcterms:modified xsi:type="dcterms:W3CDTF">2015-12-28T09:30:00Z</dcterms:modified>
</cp:coreProperties>
</file>